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300" w:beforeAutospacing="0" w:after="0" w:afterAutospacing="0" w:line="420" w:lineRule="atLeast"/>
        <w:ind w:left="523" w:right="523" w:firstLine="56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0F0F0"/>
          <w:lang w:val="en-US" w:eastAsia="zh-CN" w:bidi="ar"/>
        </w:rPr>
        <w:t>各层次人才相应条件及待遇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300" w:beforeAutospacing="0" w:after="0" w:afterAutospacing="0" w:line="420" w:lineRule="atLeast"/>
        <w:ind w:left="523" w:right="523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671"/>
        <w:gridCol w:w="4729"/>
        <w:gridCol w:w="1228"/>
        <w:gridCol w:w="1156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1" w:right="51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人才类别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88" w:right="188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9" w:right="49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年薪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工资（万元）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9" w:right="49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（税前）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6" w:right="4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安家费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6" w:right="46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（万元）（税前）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科研启动经费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首席科学家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第一层次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88" w:right="188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中国科学院院士、中国工程院院士、中国社会科学院学部委员、海外著名学术机构院士。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9" w:right="49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一事一议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6" w:right="4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一事一议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一事一议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学科领军人才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第二层次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88" w:right="188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国家重点实验室（工程中心）首席专家、国家“万人计划”领军人才、国家“千人计划”创新人才项目入选者、教育部“长江学者奖励计划”特聘教授、国家杰出青年基金获得者、海外高水平大学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U.S.NEWS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THE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QS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ARWU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世界大学最新版本排名前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）教授、国家科技支撑计划、国家重点研发计划项目、国家自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然科学基金委重大项目负责人。（年龄不超过55周岁）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9" w:right="49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一事一议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6" w:right="4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一事一议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一事一议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第三层次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88" w:right="188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部重点实验室（工程、技术中心）主任、山西省“三晋学者”、国家“万人计划”青年拔尖人才、国家“青年千人计划”项目入选者、教育部“长江学者奖励计划”青年项目入选者、国家优秀青年基金获得者、国内“双一流”大学教授、国家科技支撑计划课题、国家重点研发计划课题、国家自然科学基金重点项目负责人。（年龄不超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9" w:right="49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一事一议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6" w:right="4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学术技术带头人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第四层次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88" w:right="188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山西省 “青年三晋学者”，省部级科研创新平台负责人，山西省学术技术带头人，山西省重大科技计划项目负责人，山西省“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工程”重点学科、重点实验室、重点创新团队、协同创新中心负责人。（要求为教授，年龄不超过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9" w:right="49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一事一议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6" w:right="4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学术骨干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第五层次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88" w:right="188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在国内本学科领域具有一定知名度和影响力、拥有较多高水平科研成果的教授，要求获得博士学历学位，主持过国家级科研项目，同时以第一作者发表过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篇以上高水平学术论文。（原则上年龄不超过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9" w:right="49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享受相应人事政策工资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6" w:right="4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文科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4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88" w:right="188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世界排名前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名的世界一流大学（不含境内）、国家“双一流”建设高校及建设学科以及中国科学院、国家重点实验室（工程中心）毕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业博士。要求以第一作者公开发表过本学科领域论文，理工科至少在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EI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（不含增刊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SCI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收录论文两篇以上。人文社科类至少在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CSSCI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（非扩展版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不含增刊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收录论文两篇以上。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（原则上年龄不超过 40 周岁）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9" w:right="49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享受相应人事政策工资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6" w:right="4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理工科: 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文科：12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25" w:right="25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188" w:right="188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学科和专业建设发展所需的博士；从符合条件的其他单位调入的博士。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要求以第一作者公开发表过本学科领域论文，理工科至少在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EI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（不含增刊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SCI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收录论文一篇以上。人文社科类至少在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CSSCI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（非扩展版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不含增刊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收录论文一篇以上。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（原则上年龄不超过 35 周岁）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9" w:right="49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享受相应人事政策工资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46" w:right="4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理工科:10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56" w:right="56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文科：6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0524"/>
    <w:rsid w:val="133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2020-04-26T10:12:00Z</dcterms:created>
  <dc:creator>秋叶夏花</dc:creator>
  <cp:lastModifiedBy>秋叶夏花</cp:lastModifiedBy>
  <dcterms:modified xsi:type="dcterms:W3CDTF">2020-04-26T10:20:20Z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